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</w:t>
      </w:r>
      <w:r>
        <w:rPr>
          <w:rFonts w:hint="eastAsia" w:ascii="黑体" w:hAnsi="黑体" w:eastAsia="黑体"/>
          <w:b/>
          <w:sz w:val="30"/>
          <w:szCs w:val="30"/>
          <w:lang w:eastAsia="zh-CN"/>
        </w:rPr>
        <w:t>-</w:t>
      </w:r>
      <w:r>
        <w:rPr>
          <w:rFonts w:hint="eastAsia" w:ascii="黑体" w:hAnsi="黑体" w:eastAsia="黑体"/>
          <w:b/>
          <w:sz w:val="30"/>
          <w:szCs w:val="30"/>
        </w:rPr>
        <w:t>参数一览表</w:t>
      </w:r>
    </w:p>
    <w:p>
      <w:pPr>
        <w:ind w:left="-283" w:leftChars="-135"/>
        <w:jc w:val="left"/>
        <w:rPr>
          <w:rFonts w:ascii="黑体" w:hAnsi="黑体" w:eastAsia="黑体"/>
          <w:b/>
          <w:sz w:val="10"/>
          <w:szCs w:val="10"/>
        </w:rPr>
      </w:pPr>
      <w:r>
        <w:rPr>
          <w:rFonts w:hint="eastAsia" w:ascii="黑体" w:hAnsi="黑体" w:eastAsia="黑体"/>
          <w:b/>
          <w:sz w:val="30"/>
          <w:szCs w:val="30"/>
        </w:rPr>
        <w:t>九、绿色建筑工程</w:t>
      </w:r>
    </w:p>
    <w:tbl>
      <w:tblPr>
        <w:tblStyle w:val="9"/>
        <w:tblW w:w="14356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588"/>
        <w:gridCol w:w="1537"/>
        <w:gridCol w:w="1275"/>
        <w:gridCol w:w="1416"/>
        <w:gridCol w:w="1559"/>
        <w:gridCol w:w="2549"/>
        <w:gridCol w:w="3392"/>
        <w:gridCol w:w="20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13" w:hRule="atLeast"/>
        </w:trPr>
        <w:tc>
          <w:tcPr>
            <w:tcW w:w="5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5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子分部工程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分项工程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检测节点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检测项目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检测参数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检测批次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频次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围护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结构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系统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墙体工程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保温隔热材料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导热系数或热阻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密度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压缩强度或抗压强度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垂直于板面方向的抗拉强度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外墙体保温隔热材料的吸水率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燃烧性能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照同厂家、同品种产品，内外墙每1000㎡扣除窗洞后的保温墙面面积使用的材料为一个检验批，每个检验批应至少抽查1次；不足1000㎡的也应抽查1次；超过1000㎡时，每增加2000㎡应至少增加抽查1次；超过5000㎡时，每增加5000㎡应增加抽查1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复合保温板等墙体节能定型产品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传热系数或热阻，单位面积质量，拉伸粘结强度，抗压强度，吸水率，燃烧性能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保温砌块，构件等定型产品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传热系数或热阻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吸水率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保温砌块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配套砌筑砂浆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抗压强度，导热系数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反射隔热材料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太阳光反射比、半球发射率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粘结材料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拉伸粘接强度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抹面材料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拉伸粘接强度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压折比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增强网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力学性能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抗腐蚀性能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保温浆料(同条件)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导热系数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干密度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饰面材料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成树脂乳液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外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墙涂料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容器中状态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施工性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低温稳定性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干燥时间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涂膜外观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对比率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耐碱性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耐洗刷性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耐沾污性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室外涂饰工程每一栋楼的同类涂料涂饰的墙面每1000m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应划分为一个检验批，不足1000m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也应划分为一个检验批。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复层建筑涂料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容器中状态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施工性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低温稳定性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干燥时间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涂膜外观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耐水性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耐碱性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耐洗刷性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耐沾污性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val="en-US" w:eastAsia="zh-CN"/>
              </w:rPr>
              <w:t>,挥发性有机化合物（VOCs）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合成树脂乳液砂壁状建筑涂料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容器中状态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施工性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干燥时间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耐水性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耐碱性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val="en-US" w:eastAsia="zh-CN"/>
              </w:rPr>
              <w:t>，耐沾污性，挥发性有机化合物（VOCs）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弹性建筑涂料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容器中状态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施工性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涂膜外观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干燥时间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对比率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低温稳定性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耐水性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耐碱性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耐沾污性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拉伸强度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</w:rPr>
              <w:t>断裂伸长率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val="en-US" w:eastAsia="zh-CN"/>
              </w:rPr>
              <w:t>,挥发性有机化合物（VOCs）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溶剂型外墙涂料：容器中状态，施工性，涂膜外观，干燥时间，耐水性，耐碱性，耐洗刷性</w:t>
            </w:r>
            <w:r>
              <w:rPr>
                <w:rFonts w:hint="eastAsia" w:asciiTheme="minorEastAsia" w:hAnsiTheme="minorEastAsia"/>
                <w:b w:val="0"/>
                <w:bCs w:val="0"/>
                <w:sz w:val="21"/>
                <w:szCs w:val="21"/>
                <w:lang w:val="en-US" w:eastAsia="zh-CN"/>
              </w:rPr>
              <w:t>,挥发性有机化合物（VOCs）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建筑外墙用腻子：容器中状态，施工性，干燥时间，耐水性，耐碱性，打磨性，动态抗开裂性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9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外墙柔性腻子：混合后状态，施工性，干燥时间，打磨性，初期干燥抗裂性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94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陶瓷砖：吸水率，破坏强度，断裂模数，抗冻性，耐化学腐蚀性，抗热震性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相同材料、工艺和施工条件的室外饰面砖工程每1000m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应划分为一个检验批，不足1000m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也应划分为一个检验批。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节能与能源利用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保温板材与基层的粘结面积比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9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后置锚固件锚固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抗拔承载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力</w:t>
            </w:r>
          </w:p>
        </w:tc>
        <w:tc>
          <w:tcPr>
            <w:tcW w:w="33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保温板材与基层的拉伸粘接强度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(保温层与粘结砂浆、粘结砂浆与基层)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每1000m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外墙为一个检验批，每批取5个测点。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节能与能源利用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饰面砖粘接强度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按JGJ/T110规定执行。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外墙节能构造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按GB50411规定执行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传热系数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/传热阻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每个单位工程的外墙应至少抽查3处，每处一个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点；当一个单位工程外墙有2种以上节能保温做法时，每种节能做法的外墙应抽查不少于3处。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建筑反射隔热涂料的等效热阻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热桥部位内表面温度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隔热性能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热工缺陷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单位工程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所有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外墙。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幕墙工程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含采光顶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保温材料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导热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系数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或热阻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密度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吸水率，燃烧性能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同一厂家的同一种产品，不少于1组。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DGJ32/J124-2011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GB8624-2012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GB/T11944-2012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GB/T5237.6-2017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GB/T21086-2007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JGJ102-2013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幕墙玻璃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可见光透射比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遮阳系数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传热系数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中空玻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璃露点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中空玻璃密封性能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隔热型材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横向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特征值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纵向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抗剪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特征值</w:t>
            </w:r>
          </w:p>
        </w:tc>
        <w:tc>
          <w:tcPr>
            <w:tcW w:w="33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透光、半透光遮阳材料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太阳光透射比，太阳光反射比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同厂家、同品种产品，幕墙面积在3000m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以内时应复验1次。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幕墙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工程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气密性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一个单位工程中面积超过1000m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的每一种幕墙均抽取一个试件。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幕墙工程</w:t>
            </w: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传热系数，隔热性能，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可见光透射比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遮阳系数</w:t>
            </w:r>
          </w:p>
        </w:tc>
        <w:tc>
          <w:tcPr>
            <w:tcW w:w="33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按委托要求。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21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幕墙玻璃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中空玻璃露点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门窗工程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门窗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气密性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传热系数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一体化窗遮阳系数和采光系数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同一厂家的同一品种、类型、规格的门窗及门窗玻璃，每100樘划分为一个检验批，不足100樘的也作为一个检验批，每一检验批各抽查不少于3樘（件）。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GB8624-2012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GB/T28887-2012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GB/T8478-2020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GB/T11944-2012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门窗玻璃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玻璃遮阳系数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可见光透射比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中空玻璃露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点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中空玻璃密封性能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门窗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外窗气密性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单位工程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品种、类型和开启方式的外窗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应抽查不少于3樘。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屋面工程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保温隔热材料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导热系数或热阻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密度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吸水率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抗压强度或压缩强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燃烧性能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同厂家、同品种，每1000㎡屋面使用的材料为一个检验批，每个检验批抽查1次；屋面超过1000㎡时，每增加2000㎡应增加1次抽样；屋面超过5000㎡时，每增加5000㎡应增加1次抽样。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反射隔热材料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太阳光反射比，半球发射率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屋面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传热系数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/传热阻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每个单位工程的屋面应至少抽查2处。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地面工程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保温材料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导热系数或热阻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密度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吸水率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抗压强度或压缩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强度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燃烧性能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同厂家、同品种，每1000㎡地面使用的材料为一个检验批，每个检验批抽查1次；地面超过1000㎡时，每增加2000㎡应增加1次抽样；地面超过5000㎡时，每增加5000㎡应增加1次抽样。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GB8624-2012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67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地面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保温板材与基层的拉伸粘接强度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(保温层与粘结砂浆、粘结砂浆与基层)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198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后置锚固件锚固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抗拔承载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力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传热系数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/传热阻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单位工程的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面至少抽查2处。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5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3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供暖空调设备及管网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供暖工程</w:t>
            </w:r>
          </w:p>
        </w:tc>
        <w:tc>
          <w:tcPr>
            <w:tcW w:w="141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保温材料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厚度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导热系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或热阻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密度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吸水率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同厂家、同材质的保温材料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抽检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次数不得少于2次。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 50242-2002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散热器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单位散热量，金属热强度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同厂家、同材质的散热器，数量在500组及以下时，抽检2组；每增加1000组时应增加抽检1组。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系统节能性能</w:t>
            </w: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室内温度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耗电输热比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水力平衡度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室外管网热损失率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全数检测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通风与空调工程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绝热材料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导热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系数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或热阻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吸水率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同厂家、同材质的绝热材料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抽检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次数不得少于2次。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GB50243-2016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6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风机盘管机组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供冷量，供热量，风量，水阻力，功率及噪声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同厂家、同结构形式的风机盘管机组在500台及以下，抽检2台；每增加1000台应增加1台。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6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风管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严密性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按数量抽查10%，且不得少于1个系统。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现场组装的组合式空调机组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漏风量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按同类产品数量抽查20%，且不得少于1台。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系统节能性能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室内温度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空调（包括新风）系统风量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通风与空气调节系统总风量，应按风管系统总数量抽检10%，且不得少于1个系统。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新风系统的总风量，应按新风系统总数量抽检20%,且不同风量的新风系统不得少于1个系统。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各风口风量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按风管系统总数量抽检10%，且不得少于1个系统中的全部风口。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空调机组水流量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按系统总数量抽检10%,且不得少于1个系统。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风机单位风量耗功率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风道系统单位风量耗功率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全数检测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空调系统的冷水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热水、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冷却水的循环流量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全数检测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输送能效比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全数检测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空调与供暖系统冷热源及管网工程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预制绝热管道、绝热材料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导热系数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或热阻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密度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吸水率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同厂家、同材质的绝热材料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抽检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次数不得少于2次。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3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配电照明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建筑电气工程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电缆（电线）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截面积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线芯导体电阻值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同品牌进场规格总数的10%，且不少于2个用量最多的规格。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照明光源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照明光源初始光效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按委托方要求。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照明灯具镇流器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照明灯具镇流器能效值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照明灯具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照明灯具效率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照明设备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照明设备功率，功率因数，谐波含量值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系统节能性能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平均照度与照明功率密度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抽检量不少于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有代表性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房间总数的1%，且不少于1间；不同类型的房间或场所，应至少抽检1间。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室内环境质量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室内环境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入户门、外窗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空气声隔声性能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每个检验批应抽查5%，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不少于3樘，不足3樘时应全数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20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GB/T28887-2012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GB/T8478-2020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隔声构件或材料</w:t>
            </w: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空气声隔声性能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吸声材料</w:t>
            </w: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吸声性能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石材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放射性核素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人造板及其制品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甲醛释放量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GB18580-2017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建筑涂料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水性建筑涂料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甲醛，挥发性有机化合物（VOC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），苯、甲苯、乙苯、二甲苯总和，可溶性重金属(镉、铬)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溶剂型建筑涂料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挥发性有机化合物（VOC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），苯，甲苯、乙苯、二甲苯总和，可溶性重金属(镉、铬)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GB18582-2020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GB38468-2019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溶剂型木器涂料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挥发性有机化合物（VOC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）、苯、甲苯、二甲苯（含乙苯）总和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GB18581-2020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胶粘剂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游离甲醛，苯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甲苯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二甲苯，总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VOC）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GB30982-2014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GB18583-2008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T33372-2016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木家具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甲醛释放量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GB18584-2001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壁纸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GB18585-2001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聚氯乙烯卷材地板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挥发物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GB18586-2001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地毯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甲醛、挥发性有机化合物（VOC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GB18587-2016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地毯衬垫及地毯胶粘剂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甲醛、挥发性有机化合物（VOC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每检验批不少于1组。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GB50325-2020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GB18587-2016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156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施工结束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室内空气污染物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甲醛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甲苯，二甲苯，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挥发性有机化合物（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TVOC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、氡</w:t>
            </w:r>
          </w:p>
        </w:tc>
        <w:tc>
          <w:tcPr>
            <w:tcW w:w="33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单位工程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应选取具有代表性的房间，抽检量不少于房间总数的5%，且不少于3间，当房间总数少于3间时，应全数检测。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GB50325-2020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560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2.5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PM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(设计有要求时检测)</w:t>
            </w:r>
          </w:p>
        </w:tc>
        <w:tc>
          <w:tcPr>
            <w:tcW w:w="33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GB3095-2012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303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室内声环境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室内背景噪声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楼板和分户墙（房间之间）空气声隔声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外窗空气声隔声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楼板撞击声隔声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有声学特性要求房间的声学特性（体育场馆、多功能厅、接待大厅、会议室、剧场等）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DGJ32/TJ194-2015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室内光环境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采光系数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采光均匀度（顶部采光时）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DGJ32/TJ194-2015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窗地面积比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每种功能区域抽查不少于2处。</w:t>
            </w:r>
          </w:p>
        </w:tc>
        <w:tc>
          <w:tcPr>
            <w:tcW w:w="20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自然通风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拔风井（风口风速、风口空气温度）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分别检测不同尺寸的拔风井室内端和室外端的自然通风效果。</w:t>
            </w:r>
          </w:p>
        </w:tc>
        <w:tc>
          <w:tcPr>
            <w:tcW w:w="20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DGJ32/TJ194-2015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拔风帽（自然通风效果）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分别检测不同尺寸的拔风帽，且不少于1种尺寸。当拔风帽总数少于3个时，应全数检测。</w:t>
            </w:r>
          </w:p>
        </w:tc>
        <w:tc>
          <w:tcPr>
            <w:tcW w:w="20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新风量</w:t>
            </w:r>
          </w:p>
        </w:tc>
        <w:tc>
          <w:tcPr>
            <w:tcW w:w="339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按新风系统总数量抽检20%,且不同风量的新风系统不得少于1个系统。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DGJ32/TJ194-2015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室内湿热环境</w:t>
            </w: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主要功能房间的温度，相对湿度</w:t>
            </w:r>
          </w:p>
        </w:tc>
        <w:tc>
          <w:tcPr>
            <w:tcW w:w="33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按DGJ32/J19规定执行。</w:t>
            </w:r>
          </w:p>
        </w:tc>
        <w:tc>
          <w:tcPr>
            <w:tcW w:w="20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GB50243-2016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DGJ32/TJ194-2015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建筑照明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平均照度与照明功率密度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单位工程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选抽检量不少于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有代表性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房间总数的1%，且不少于1间；不同类型的房间或场所，应至少抽检1间。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DGJ32/TJ194-2015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监测与控制节能工程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监测与控制系统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291" w:hRule="atLeast"/>
        </w:trPr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施工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施工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可再生能源工程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太阳能光热系统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太阳能光热系统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集热设备的热性能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同厂家、同类型的太阳能集热器或太阳能热水器数量在200台及以下时，抽检1台（套）；200台以上时抽检2台（套）。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DGJ32/TJ90-2017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GB/T6424-2007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GB/T19141-2011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GB/T17581-2007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GB/T50801-2013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DGJ32/TJ170-2014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保温材料的导热系数或热阻，密度，吸水率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同厂家、同材质的绝热材料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抽检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次数不得少于2次。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全年集热系统得热量，太阳能保证率，系统集热效率，系统热性能（日有用得热量、贮热水箱保温性能），系统安全性能（锚固承载力、支架检验、耐蚀性能、防雷击性能、防漏电检验、系统防渗漏检验等）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集中式系统应全数检测；分散式系统应按同类型总数抽检2%，且不得少于1套。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太阳能光伏系统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太阳能光伏系统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GB/T19064-2003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GB/T50801-2013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DGJ32/TJ126-2011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年发电量和光电转换效率，基础及支架工程（锚固抗拔承载力、支架涂层厚度、支架接地电阻）、系统交流输出性能（电压及偏差、频率及偏差等）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全数检测。</w:t>
            </w:r>
          </w:p>
        </w:tc>
        <w:tc>
          <w:tcPr>
            <w:tcW w:w="20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地源热泵系统</w:t>
            </w: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地埋管材及管件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导热系数，公称压力，使用温度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每批次管材及管件进场按其数量的1%进行见证取样送检。</w:t>
            </w:r>
          </w:p>
        </w:tc>
        <w:tc>
          <w:tcPr>
            <w:tcW w:w="20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GB50411-2019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GB50366-2019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DGJ32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GB/T50801-2013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DGJ32/TJ171-2014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DGJ32/TJ130-2011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绝热材料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导热系数，密度，吸水率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同一厂家、同材质的绝热材料抽检次数不少于2次。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41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地埋管换热系统</w:t>
            </w:r>
          </w:p>
        </w:tc>
        <w:tc>
          <w:tcPr>
            <w:tcW w:w="25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岩土热响应测试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按设计要求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应用的建筑面积小于5000m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时，测试孔不少于1个；应用面积大于或等于5000m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时，测试孔应不少于2个。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系统能效比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全数检测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节水与水资源利用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节水与水资源利用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GB/T18921-2019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GB/T18920-2020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GB8978-1996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节水器具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节水效率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按委托要求。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管道及管网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管道漏损、管网年漏损率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按委托要求。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非传统水源水质及利用率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1、景观环境和湿地用水：pH值，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五日生化需氧量，浊度，色度，氨氮，总磷，总氮，粪大肠菌群，余氯（加氯消毒时的水景类用水）；2、车辆清洗、厕所便池冲洗等杂用水：pH值，色度，浊度，五日生化需氧量，氨氮，阴离子表面活性剂，嗅，铁，锰，溶解性总固体，溶氧量，总氯，大肠埃希氏菌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按系统总数抽检10%，且不得少于1个系统。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利用率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按委托要求。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污水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排放水质：pH值，化学需氧量、五日生化需氧量，氨氮，阴离子表面活性剂和色度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按系统总数抽检10%，且不得少于1个系统。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节材与材料资源利用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节材与材料资源利用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GB50378-2019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DGJ32/J19-2015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500km以内材料用量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施工现场500km以内生产的建筑材料重量占建筑材料总重量的比例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按委托要求。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节地与室外环境</w:t>
            </w:r>
          </w:p>
        </w:tc>
        <w:tc>
          <w:tcPr>
            <w:tcW w:w="127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节地与室外环境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周围环境噪声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环境噪声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全数检测。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GB50300-2013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DGJ32/J19-2015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GB3096-2008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GB18091-2015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GB/T5700-2008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室外空气质量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按委托要求。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室外光污染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照度，亮度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按设计要求。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玻璃幕墙反射比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按设计要求。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周围环境噪声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环境噪声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全数检测。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12" w:hRule="atLeast"/>
        </w:trPr>
        <w:tc>
          <w:tcPr>
            <w:tcW w:w="588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能效测评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施工前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DGJ32/J19-2015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DGJ32/TJ135-2012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施工过程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88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节能与能源利用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施工结束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能效测评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民用建筑能效理论值测评</w:t>
            </w: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同类型居住建筑抽取不少于有代表性建筑数量的10%，且不得少于1栋。公共建筑应以单栋建筑为测评对象。</w:t>
            </w: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ind w:left="-283" w:leftChars="-135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18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18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0E"/>
    <w:rsid w:val="0007291A"/>
    <w:rsid w:val="00163C51"/>
    <w:rsid w:val="00180959"/>
    <w:rsid w:val="00224942"/>
    <w:rsid w:val="00297B3A"/>
    <w:rsid w:val="002A5F22"/>
    <w:rsid w:val="0032218B"/>
    <w:rsid w:val="0039539A"/>
    <w:rsid w:val="004E1AD2"/>
    <w:rsid w:val="00567E0E"/>
    <w:rsid w:val="005A07AA"/>
    <w:rsid w:val="005B1FAA"/>
    <w:rsid w:val="006922EC"/>
    <w:rsid w:val="006E6EC7"/>
    <w:rsid w:val="007333D2"/>
    <w:rsid w:val="007E5367"/>
    <w:rsid w:val="008531FA"/>
    <w:rsid w:val="00867AA6"/>
    <w:rsid w:val="00975E9D"/>
    <w:rsid w:val="0097617F"/>
    <w:rsid w:val="00AB1424"/>
    <w:rsid w:val="00B35E79"/>
    <w:rsid w:val="00BD43E6"/>
    <w:rsid w:val="00C468F9"/>
    <w:rsid w:val="00DA558A"/>
    <w:rsid w:val="00DD318D"/>
    <w:rsid w:val="00E54231"/>
    <w:rsid w:val="00F3566E"/>
    <w:rsid w:val="00F76029"/>
    <w:rsid w:val="00F900EF"/>
    <w:rsid w:val="015C2160"/>
    <w:rsid w:val="02362365"/>
    <w:rsid w:val="032D0CEB"/>
    <w:rsid w:val="03367A12"/>
    <w:rsid w:val="035A30A9"/>
    <w:rsid w:val="03605CAC"/>
    <w:rsid w:val="04146CE2"/>
    <w:rsid w:val="046E079A"/>
    <w:rsid w:val="04B7235D"/>
    <w:rsid w:val="04B72B29"/>
    <w:rsid w:val="05635EE1"/>
    <w:rsid w:val="05960403"/>
    <w:rsid w:val="06107E59"/>
    <w:rsid w:val="061C1A4C"/>
    <w:rsid w:val="064B0646"/>
    <w:rsid w:val="064D527C"/>
    <w:rsid w:val="06B4389C"/>
    <w:rsid w:val="077E76F5"/>
    <w:rsid w:val="07DB2CCB"/>
    <w:rsid w:val="089A7016"/>
    <w:rsid w:val="09120EF6"/>
    <w:rsid w:val="092874FE"/>
    <w:rsid w:val="09523153"/>
    <w:rsid w:val="0A0A58B2"/>
    <w:rsid w:val="0AA963F7"/>
    <w:rsid w:val="0AC3095F"/>
    <w:rsid w:val="0B3A5F19"/>
    <w:rsid w:val="0D5C5289"/>
    <w:rsid w:val="0E0A0813"/>
    <w:rsid w:val="0E5C3422"/>
    <w:rsid w:val="0EC47EF3"/>
    <w:rsid w:val="102E0F1C"/>
    <w:rsid w:val="104C7C8A"/>
    <w:rsid w:val="1086201D"/>
    <w:rsid w:val="113130AF"/>
    <w:rsid w:val="11B2620E"/>
    <w:rsid w:val="11B44D4E"/>
    <w:rsid w:val="122225D3"/>
    <w:rsid w:val="124C1508"/>
    <w:rsid w:val="12F9568C"/>
    <w:rsid w:val="13E11DDC"/>
    <w:rsid w:val="14263D86"/>
    <w:rsid w:val="14840D05"/>
    <w:rsid w:val="14C34EDF"/>
    <w:rsid w:val="15166570"/>
    <w:rsid w:val="15404B1A"/>
    <w:rsid w:val="1575662C"/>
    <w:rsid w:val="159F6E7B"/>
    <w:rsid w:val="15D32F87"/>
    <w:rsid w:val="16CD4BBD"/>
    <w:rsid w:val="16F27EF2"/>
    <w:rsid w:val="171D3D84"/>
    <w:rsid w:val="18005B3A"/>
    <w:rsid w:val="18270543"/>
    <w:rsid w:val="18CF46A4"/>
    <w:rsid w:val="196D415D"/>
    <w:rsid w:val="1A1A4DDE"/>
    <w:rsid w:val="1B191030"/>
    <w:rsid w:val="1B2B5F23"/>
    <w:rsid w:val="1B7A0A1A"/>
    <w:rsid w:val="1C455098"/>
    <w:rsid w:val="1CB33AA8"/>
    <w:rsid w:val="1CD06F6B"/>
    <w:rsid w:val="1DC64ECE"/>
    <w:rsid w:val="1DEA0DD1"/>
    <w:rsid w:val="1F0A0104"/>
    <w:rsid w:val="1F205B4B"/>
    <w:rsid w:val="1FB9111B"/>
    <w:rsid w:val="20656B1E"/>
    <w:rsid w:val="20A83441"/>
    <w:rsid w:val="212D11F2"/>
    <w:rsid w:val="218A5784"/>
    <w:rsid w:val="22312B5A"/>
    <w:rsid w:val="227D2E26"/>
    <w:rsid w:val="235020EF"/>
    <w:rsid w:val="23B4370D"/>
    <w:rsid w:val="23CE437C"/>
    <w:rsid w:val="23E70ADF"/>
    <w:rsid w:val="24480889"/>
    <w:rsid w:val="264C5E36"/>
    <w:rsid w:val="269D1317"/>
    <w:rsid w:val="2712036C"/>
    <w:rsid w:val="273C78EE"/>
    <w:rsid w:val="275477F2"/>
    <w:rsid w:val="27EF3729"/>
    <w:rsid w:val="2844120B"/>
    <w:rsid w:val="28C71317"/>
    <w:rsid w:val="29093AD7"/>
    <w:rsid w:val="29777223"/>
    <w:rsid w:val="29812492"/>
    <w:rsid w:val="29902C27"/>
    <w:rsid w:val="2A735C68"/>
    <w:rsid w:val="2A794A7E"/>
    <w:rsid w:val="2B176D67"/>
    <w:rsid w:val="2B956E62"/>
    <w:rsid w:val="2C1458DA"/>
    <w:rsid w:val="2C9F7B46"/>
    <w:rsid w:val="2CD5222D"/>
    <w:rsid w:val="2DB20F5C"/>
    <w:rsid w:val="2E107EE0"/>
    <w:rsid w:val="2EE72873"/>
    <w:rsid w:val="2EEE2FC9"/>
    <w:rsid w:val="2F077AD5"/>
    <w:rsid w:val="2F192D61"/>
    <w:rsid w:val="31175FA8"/>
    <w:rsid w:val="31907D01"/>
    <w:rsid w:val="31B3782D"/>
    <w:rsid w:val="32AA58F0"/>
    <w:rsid w:val="32D73828"/>
    <w:rsid w:val="33067FD2"/>
    <w:rsid w:val="330A55CF"/>
    <w:rsid w:val="3362571F"/>
    <w:rsid w:val="33E56507"/>
    <w:rsid w:val="3443478A"/>
    <w:rsid w:val="34BA5F23"/>
    <w:rsid w:val="3558236B"/>
    <w:rsid w:val="35A03F5D"/>
    <w:rsid w:val="36106F99"/>
    <w:rsid w:val="36181531"/>
    <w:rsid w:val="36E71B76"/>
    <w:rsid w:val="37E5320E"/>
    <w:rsid w:val="3811528E"/>
    <w:rsid w:val="38296F1A"/>
    <w:rsid w:val="387A3057"/>
    <w:rsid w:val="391833F2"/>
    <w:rsid w:val="39A72464"/>
    <w:rsid w:val="3BDD2C4B"/>
    <w:rsid w:val="3C1B1D4D"/>
    <w:rsid w:val="3C92118B"/>
    <w:rsid w:val="3E5A09E6"/>
    <w:rsid w:val="3E9656D7"/>
    <w:rsid w:val="3EB2780E"/>
    <w:rsid w:val="40632193"/>
    <w:rsid w:val="419D67A5"/>
    <w:rsid w:val="42037725"/>
    <w:rsid w:val="42097853"/>
    <w:rsid w:val="420C0FC6"/>
    <w:rsid w:val="420E1D76"/>
    <w:rsid w:val="435C05EF"/>
    <w:rsid w:val="438D4218"/>
    <w:rsid w:val="439225FC"/>
    <w:rsid w:val="44C40C68"/>
    <w:rsid w:val="45331F26"/>
    <w:rsid w:val="454F51BF"/>
    <w:rsid w:val="455807E3"/>
    <w:rsid w:val="45A4506A"/>
    <w:rsid w:val="45AB766F"/>
    <w:rsid w:val="45E12B58"/>
    <w:rsid w:val="46250297"/>
    <w:rsid w:val="47622A04"/>
    <w:rsid w:val="477F3FAB"/>
    <w:rsid w:val="48045D7B"/>
    <w:rsid w:val="48693761"/>
    <w:rsid w:val="48CE2AF5"/>
    <w:rsid w:val="48F23561"/>
    <w:rsid w:val="491959EA"/>
    <w:rsid w:val="496D7C02"/>
    <w:rsid w:val="49AB4F5E"/>
    <w:rsid w:val="49FA5D72"/>
    <w:rsid w:val="4A4B5347"/>
    <w:rsid w:val="4A9A08BD"/>
    <w:rsid w:val="4AB73BA7"/>
    <w:rsid w:val="4B4E5A63"/>
    <w:rsid w:val="4BE55F2E"/>
    <w:rsid w:val="4D9403CE"/>
    <w:rsid w:val="4DCC03CF"/>
    <w:rsid w:val="4E3B41EE"/>
    <w:rsid w:val="4E705658"/>
    <w:rsid w:val="4EEC4BE7"/>
    <w:rsid w:val="4F5F094E"/>
    <w:rsid w:val="4FAC15C2"/>
    <w:rsid w:val="50451344"/>
    <w:rsid w:val="506407AB"/>
    <w:rsid w:val="50C03FB0"/>
    <w:rsid w:val="51041D5C"/>
    <w:rsid w:val="517722A8"/>
    <w:rsid w:val="5194420A"/>
    <w:rsid w:val="51BB3760"/>
    <w:rsid w:val="52083E9B"/>
    <w:rsid w:val="52E17C2E"/>
    <w:rsid w:val="53461BC3"/>
    <w:rsid w:val="53E91232"/>
    <w:rsid w:val="546E1F08"/>
    <w:rsid w:val="54D60EE8"/>
    <w:rsid w:val="554C49D1"/>
    <w:rsid w:val="566F1AE3"/>
    <w:rsid w:val="573E4889"/>
    <w:rsid w:val="57400C93"/>
    <w:rsid w:val="57BF3713"/>
    <w:rsid w:val="591D7B13"/>
    <w:rsid w:val="597C02B2"/>
    <w:rsid w:val="5A5A73FE"/>
    <w:rsid w:val="5BB579BA"/>
    <w:rsid w:val="5C0F3FEB"/>
    <w:rsid w:val="5C397A98"/>
    <w:rsid w:val="5C425784"/>
    <w:rsid w:val="5C832AE9"/>
    <w:rsid w:val="5CBB73B2"/>
    <w:rsid w:val="5E773D68"/>
    <w:rsid w:val="5F764542"/>
    <w:rsid w:val="5FA04E42"/>
    <w:rsid w:val="5FC550E1"/>
    <w:rsid w:val="5FEB66F9"/>
    <w:rsid w:val="607C3E9E"/>
    <w:rsid w:val="60B75F45"/>
    <w:rsid w:val="60BF7F56"/>
    <w:rsid w:val="60CC718D"/>
    <w:rsid w:val="60D84BD8"/>
    <w:rsid w:val="63267E7B"/>
    <w:rsid w:val="636A67B8"/>
    <w:rsid w:val="641A30A3"/>
    <w:rsid w:val="64513EF4"/>
    <w:rsid w:val="64675375"/>
    <w:rsid w:val="64C5380A"/>
    <w:rsid w:val="64F03172"/>
    <w:rsid w:val="65C451A1"/>
    <w:rsid w:val="66323C62"/>
    <w:rsid w:val="667A6F94"/>
    <w:rsid w:val="66EA6422"/>
    <w:rsid w:val="671C2A41"/>
    <w:rsid w:val="674809E5"/>
    <w:rsid w:val="67671CFA"/>
    <w:rsid w:val="67B13DA1"/>
    <w:rsid w:val="67C51A9C"/>
    <w:rsid w:val="68E350C0"/>
    <w:rsid w:val="698F29C2"/>
    <w:rsid w:val="69E55918"/>
    <w:rsid w:val="6A050D44"/>
    <w:rsid w:val="6A283D1B"/>
    <w:rsid w:val="6A453F2D"/>
    <w:rsid w:val="6B610B86"/>
    <w:rsid w:val="6B831FEE"/>
    <w:rsid w:val="6BDA556B"/>
    <w:rsid w:val="6BF91AAC"/>
    <w:rsid w:val="6C3D4D0A"/>
    <w:rsid w:val="6C5773CC"/>
    <w:rsid w:val="6C7C3DB1"/>
    <w:rsid w:val="6C893AF0"/>
    <w:rsid w:val="6D263EE0"/>
    <w:rsid w:val="6DC52076"/>
    <w:rsid w:val="6E5E19AB"/>
    <w:rsid w:val="6ED45DC9"/>
    <w:rsid w:val="6F14145B"/>
    <w:rsid w:val="6F29025A"/>
    <w:rsid w:val="6FCD708A"/>
    <w:rsid w:val="70130A8F"/>
    <w:rsid w:val="705A285D"/>
    <w:rsid w:val="709F06C4"/>
    <w:rsid w:val="723F755E"/>
    <w:rsid w:val="72863792"/>
    <w:rsid w:val="72DA3EF0"/>
    <w:rsid w:val="72E33750"/>
    <w:rsid w:val="730732F6"/>
    <w:rsid w:val="735D7903"/>
    <w:rsid w:val="73BF3A5A"/>
    <w:rsid w:val="73C562ED"/>
    <w:rsid w:val="73F156C7"/>
    <w:rsid w:val="74D01DD2"/>
    <w:rsid w:val="7564444F"/>
    <w:rsid w:val="75EC616D"/>
    <w:rsid w:val="76252A08"/>
    <w:rsid w:val="76F20091"/>
    <w:rsid w:val="77103EC8"/>
    <w:rsid w:val="7718493B"/>
    <w:rsid w:val="77351E39"/>
    <w:rsid w:val="77984C0E"/>
    <w:rsid w:val="77E15FA2"/>
    <w:rsid w:val="78C14B21"/>
    <w:rsid w:val="79750AE0"/>
    <w:rsid w:val="799275FD"/>
    <w:rsid w:val="79961426"/>
    <w:rsid w:val="7A2573CC"/>
    <w:rsid w:val="7ABB504F"/>
    <w:rsid w:val="7B002283"/>
    <w:rsid w:val="7B1A2649"/>
    <w:rsid w:val="7BCD57F3"/>
    <w:rsid w:val="7BEC0435"/>
    <w:rsid w:val="7C5F2DB6"/>
    <w:rsid w:val="7CB27085"/>
    <w:rsid w:val="7D7561C5"/>
    <w:rsid w:val="7DAD300C"/>
    <w:rsid w:val="7E054086"/>
    <w:rsid w:val="7EEA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llowedHyperlink"/>
    <w:basedOn w:val="10"/>
    <w:semiHidden/>
    <w:unhideWhenUsed/>
    <w:qFormat/>
    <w:uiPriority w:val="99"/>
    <w:rPr>
      <w:color w:val="014CCC"/>
      <w:u w:val="none"/>
    </w:rPr>
  </w:style>
  <w:style w:type="character" w:styleId="12">
    <w:name w:val="Hyperlink"/>
    <w:basedOn w:val="10"/>
    <w:semiHidden/>
    <w:unhideWhenUsed/>
    <w:qFormat/>
    <w:uiPriority w:val="99"/>
    <w:rPr>
      <w:color w:val="014CCC"/>
      <w:u w:val="none"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文字 Char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主题 Char"/>
    <w:basedOn w:val="15"/>
    <w:link w:val="7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17">
    <w:name w:val="批注框文本 Char"/>
    <w:basedOn w:val="10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91C3A-886C-4CB0-993E-479BDB0DFB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hajky</Company>
  <Pages>13</Pages>
  <Words>646</Words>
  <Characters>3684</Characters>
  <Lines>30</Lines>
  <Paragraphs>8</Paragraphs>
  <TotalTime>10</TotalTime>
  <ScaleCrop>false</ScaleCrop>
  <LinksUpToDate>false</LinksUpToDate>
  <CharactersWithSpaces>4322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2021-01-09T01:20:00Z</dcterms:created>
  <dc:creator>微软用户</dc:creator>
  <cp:lastModifiedBy>雪rainbow</cp:lastModifiedBy>
  <cp:lastPrinted>2021-01-28T06:36:00Z</cp:lastPrinted>
  <dcterms:modified xsi:type="dcterms:W3CDTF">2021-04-08T04:48:25Z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168E94EEBAB945B29F437A02F3485989</vt:lpwstr>
  </property>
</Properties>
</file>